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7450F5">
      <w:pPr>
        <w:spacing w:line="360" w:lineRule="auto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7.4 解一元一次不等式组</w:t>
      </w:r>
    </w:p>
    <w:p w14:paraId="6AAF4F4D">
      <w:pPr>
        <w:spacing w:line="360" w:lineRule="auto"/>
        <w:jc w:val="center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吴婧娟 福建省漳州市南靖县湖美中学</w:t>
      </w:r>
    </w:p>
    <w:p w14:paraId="5DACB058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指导老师：庄清华</w:t>
      </w:r>
    </w:p>
    <w:p w14:paraId="73CA4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内容分析：</w:t>
      </w:r>
    </w:p>
    <w:p w14:paraId="73D9C1B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课标要求</w:t>
      </w:r>
    </w:p>
    <w:p w14:paraId="6838D1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会用数轴确定两个一元一次不等式组成的不等式组的解集。</w:t>
      </w:r>
    </w:p>
    <w:p w14:paraId="33C01BF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教材分析</w:t>
      </w:r>
    </w:p>
    <w:p w14:paraId="036AF7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知识层面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本节课是华师大版七年级下册第7章《一元一次不等式》的内容，是在学生已经掌握一元一次不等式的概念、解法以及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用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数轴表示不等式解集等知识基础上的延伸与深化。 从知识关联来看，学生在小学阶段已接触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过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简单的不等关系，初中阶段先学习了一元一次方程的解法，再过渡到一元一次不等式的求解，而一元一次不等式组则是对“多个不等关系同时成立”这一实际需求的数学抽象——通过将几个含有相同未知数的一元一次不等式组合，形成不等式组，其核心任务是确定这些不等式解集的公共部分。这一内容既巩固了前面所学的一元一次不等式解法和数轴的应用，又为后续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利用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不等式组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解决实际问题以及探究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函数中的取值范围问题等奠定了基础，是“数与代数”领域中“不等关系”知识体系的关键环节。 从知识本质来看，本节课不仅要让学生掌握“解不等式组”的操作步骤，更要理解“不等式组的解集是各不等式解集公共部分”的核心内涵，建立“多个限制条件下取值范围确定”的知识逻辑，完善对代数运算中“关系类问题”的认知。</w:t>
      </w:r>
    </w:p>
    <w:p w14:paraId="630D76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能力层面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在此之前，学生已经历一元一次不等式的探究与应用过程，具备了一定的代数运算能力、符号理解能力和几何直观（数轴）运用能力。本节课通过“实际问题抽象出不等式组→分别求解单个不等式→利用数轴找公共部分→确定不等式组解集”的完整过程，将进一步提升学生的多项能力。 首先，经历从实际问题中抽象出一元一次不等式组的过程，能培养学生的数学建模能力，让学生学会用数学符号表达现实中的不等关系；其次，在分别求解不等式、借助数轴分析公共部分的过程中，能提升学生的运算能力和几何直观能力，尤其是通过数轴将抽象的“解集公共部分”可视化，有助于学生建立“数”与“形”的联系；最后，在探究不同类型不等式组（如“同大取大”“同小取小”“大小小大中间找”“大大小小无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处找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”）的解集规律时，能培养学生的观察、归纳、总结能力，深化对“分类讨论”思想的初步感知。 这些能力的培养，既是对前面知识学习中能力的延续，也是对“复杂问题拆解与整合”能力的提升，为后续处理更综合的数学问题提供了方法支撑。</w:t>
      </w:r>
    </w:p>
    <w:p w14:paraId="7C7769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思想层面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培养逻辑思维能力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和数形结合思想，提升抽象思维能力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eastAsia="zh-CN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一元一次不等式组的核心是“多个不等关系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式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同时成立”，其解集的确定需要先分析每个不等式的解集，再通过逻辑判断找到它们的公共部分。这种“先拆解单个条件，再整合整体关系”的思维过程，本质上是对逻辑联结词“且”的数学应用，能让学生在分析“公共部分”的过程中，强化逻辑推理和判断能力。本节课从具体的实际问题（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抽水机抽污水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）抽象出一元一次不等式组，再通过符号语言表示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为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1F2329"/>
                <w:spacing w:val="0"/>
                <w:sz w:val="21"/>
                <w:szCs w:val="21"/>
                <w:shd w:val="clear" w:fill="FFFFFF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1F2329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sSubPr>
                  <m:e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a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e>
                  <m:sub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1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sub>
                </m:sSub>
                <m:r>
                  <m:rPr/>
                  <w:rPr>
                    <w:rFonts w:hint="default" w:ascii="Cambria Math" w:hAnsi="Cambria Math" w:cs="宋体"/>
                    <w:caps w:val="0"/>
                    <w:color w:val="1F2329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x+</m:t>
                </m:r>
                <m:sSub>
                  <m:sSubP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sSubPr>
                  <m:e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b</m:t>
                    </m: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e>
                  <m:sub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1</m:t>
                    </m: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sub>
                </m:sSub>
                <m:r>
                  <m:rPr/>
                  <w:rPr>
                    <w:rFonts w:ascii="Cambria Math" w:hAnsi="Cambria Math" w:cs="宋体"/>
                    <w:caps w:val="0"/>
                    <w:color w:val="1F2329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&gt;</m:t>
                </m:r>
                <m:sSub>
                  <m:sSubP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sSubPr>
                  <m:e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c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e>
                  <m:sub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1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sub>
                </m:sSub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1F2329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  <m:e>
                <m:sSub>
                  <m:sSubP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sSubPr>
                  <m:e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a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e>
                  <m:sub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2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sub>
                </m:sSub>
                <m:r>
                  <m:rPr/>
                  <w:rPr>
                    <w:rFonts w:hint="default" w:ascii="Cambria Math" w:hAnsi="Cambria Math" w:cs="宋体"/>
                    <w:caps w:val="0"/>
                    <w:color w:val="1F2329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x+</m:t>
                </m:r>
                <m:sSub>
                  <m:sSubP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sSubPr>
                  <m:e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b</m:t>
                    </m: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e>
                  <m:sub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2</m:t>
                    </m: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sub>
                </m:sSub>
                <m:r>
                  <m:rPr/>
                  <w:rPr>
                    <w:rFonts w:ascii="Cambria Math" w:hAnsi="Cambria Math" w:cs="宋体"/>
                    <w:caps w:val="0"/>
                    <w:color w:val="1F2329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sSubPr>
                  <m:e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c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e>
                  <m:sub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2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1F2329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sub>
                </m:sSub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1F2329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1F2329"/>
                <w:spacing w:val="0"/>
                <w:sz w:val="21"/>
                <w:szCs w:val="21"/>
                <w:shd w:val="clear" w:fill="FFFFFF"/>
                <w:lang w:val="en-US"/>
              </w:rPr>
            </m:ctrlPr>
          </m:e>
        </m:d>
      </m:oMath>
      <w:r>
        <w:rPr>
          <w:rFonts w:hint="eastAsia" w:hAnsi="Cambria Math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等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形式，最后用数轴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和</w:t>
      </w: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</w:rPr>
        <w:t>文字总结解集规律。这种从“具体情境”到“符号表达”再到“规律提炼”的过程，是从具体到抽象的典型体现，能帮助学生理解“数学符号是现实关系的简洁表达”，提升抽象概括能力，为后续学习更复杂的代数表达式奠定思维基础。同时，借助数轴分析解集的过程，也渗透了数形结合的数学思想，让学生学会用直观图形辅助抽象问题的解决。</w:t>
      </w:r>
    </w:p>
    <w:p w14:paraId="7E303ED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2329"/>
          <w:spacing w:val="0"/>
          <w:sz w:val="21"/>
          <w:szCs w:val="21"/>
          <w:shd w:val="clear" w:fill="FFFFFF"/>
          <w:lang w:val="en-US" w:eastAsia="zh-CN"/>
        </w:rPr>
        <w:t>学情分析</w:t>
      </w:r>
    </w:p>
    <w:p w14:paraId="0404F1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基本学情概述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本班共有46名学生，其中男生28人，女生18人。整体课堂氛围较为活跃，学生乐于参与课堂互动和小组讨论，但普遍数学基础较差，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基础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知识掌握不够扎实。经过一年的教学实践，通过课前小游戏、“兵教兵”、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小组代表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上台讲题、课堂小测和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布置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分层作业等教学方法的实施，学生的学习积极性有一定提升，但在知识迁移和综合应用能力上仍存在不足。本节课是在学生学习了一元一次不等式的概念、解法、应用及数轴表示解集等知识后的延伸学习，需重点关注学生对已有知识的掌握程度及新知识的接受能力。</w:t>
      </w:r>
    </w:p>
    <w:p w14:paraId="67E6D8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已有知识基础分析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在知识储备方面，学生已掌握一元一次不等式的解法，能通过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去分母、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移项、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合并同类项、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系数化为1等步骤求解不等式，这为解不等式组中单个不等式的求解奠定了基础。同时，学生学会了用数轴表示不等式的解集，知道实心圆点、空心圆圈及射线方向的含义，这对后续通过数轴寻找不等式组解集的公共部分至关重要。 但需注意的是，部分学生在解不等式时仍存在易错点：一是去分母时，常出现漏乘不含分母项的情况；二是系数化为1时，当系数为负数，容易忽略不等号方向的改变。此外，少数学生对“数轴表示解集”的操作不熟练，存在标注位置错误或射线方向画反等问题，这些都需在本节课中重点关注和纠正。 </w:t>
      </w:r>
    </w:p>
    <w:p w14:paraId="7B11CA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学习能力特点分析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从思维发展来看，七年级学生正处于从形象思维向抽象思维过渡的阶段，具体问题的理解能力较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好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但抽象概念的概括和逻辑关系的梳理能力较弱。在学习一元一次不等式组时，学生容易理解“多个不等式合在一起”的表面概念，但对“解集公共部分”的本质含义理解困难，难以将“同时满足多个不等关系”的逻辑转化为具体的解题步骤。 在学习习惯方面，班级学生基础较差，缺乏主动预习和总结反思的习惯，对复杂问题的耐心不足。但课堂气氛活跃，学生乐于参与小组合作和上台展示，“兵教兵”模式能有效发挥学优生的带动作用，学生上台讲题也能激发学习动力，这些积极因素可在本节课中继续利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 w14:paraId="065B4F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潜在学习困难预测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1. 概念理解困难：学生可能混淆“一元一次不等式组”与“多个不等式”的区别，难以把握“同一未知数”这一关键要素，在列不等式组时易出现未知数不一致的问题。 2. 解集确定困难：确定多个不等式解集的公共部分是本节课的难点。学生可能因数轴操作不熟练，无法准确画出多个解集的范围，或对“公共部分”的判断错误，尤其是在解集无公共部分的情况下，容易误认为解题步骤出错。 3.知识迁移困难：从单个不等式解法迁移到不等式组解法时，学生可能忽略“分别求解—寻找公共部分”的完整流程，直接合并不等式进行求解，导致逻辑混乱。 4.实际应用困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难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：在解决教材中“抽水机抽污水”等实际问题时，学生难以从题目中提取多个不等关系，将文字描述转化为不等式组的能力较弱，易出现漏列或错列不等式的情况。</w:t>
      </w:r>
    </w:p>
    <w:p w14:paraId="2E1A79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教学应对策略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针对以上学情，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利用课前小游戏巩固数轴表示解集的技能，教学中强化直观演示，用数轴动态展示解集公共部分的形成过程，帮助学生理解抽象概念；设计分层任务，让A层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后进生）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学生重点掌握基础解法，B层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中等生）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学生尝试简单应用，C层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优等生）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学生挑战综合问题；继续发挥“兵教兵”优势，让组长带领组员梳理解题步骤；通过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巩固练习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及时检测知识掌握情况，确保不同层次学生都能在原有基础上获得提升。</w:t>
      </w:r>
    </w:p>
    <w:p w14:paraId="2015F1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教学策略：</w:t>
      </w:r>
    </w:p>
    <w:p w14:paraId="5E58C1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本节课我将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采用“情境导入—探究建模—分层突破—应用巩固”模式。设计课前数轴小游戏巩固基础，以抽水机抽污水问题引入，通过小组讨论抽象出不等式组。利用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兵教兵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模式，让组长带领组员分步求解单个不等式，借助数轴动态演示找公共部分。例题分层讲解，A层练基础解法，B、C层挑战变式。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课堂练习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即时反馈，布置分层作业，渗透数形结合与建模思想，提升运算和问题解决能力。</w:t>
      </w:r>
    </w:p>
    <w:p w14:paraId="17338D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教学目标：</w:t>
      </w:r>
    </w:p>
    <w:p w14:paraId="62AA7D01">
      <w:pPr>
        <w:numPr>
          <w:ilvl w:val="0"/>
          <w:numId w:val="2"/>
        </w:numPr>
        <w:tabs>
          <w:tab w:val="left" w:pos="312"/>
          <w:tab w:val="clear" w:pos="732"/>
        </w:tabs>
        <w:spacing w:line="360" w:lineRule="auto"/>
        <w:ind w:left="420" w:leftChars="0"/>
        <w:rPr>
          <w:rFonts w:hint="default" w:ascii="宋体" w:hAnsi="宋体"/>
          <w:b w:val="0"/>
          <w:bCs/>
          <w:szCs w:val="21"/>
          <w:lang w:val="en-US" w:eastAsia="zh-CN"/>
        </w:rPr>
      </w:pPr>
      <w:r>
        <w:rPr>
          <w:rFonts w:hint="eastAsia" w:ascii="宋体" w:hAnsi="宋体"/>
          <w:b w:val="0"/>
          <w:bCs/>
          <w:szCs w:val="21"/>
          <w:lang w:val="en-US" w:eastAsia="zh-CN"/>
        </w:rPr>
        <w:t>知识与技能：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理解一元一次不等式组及解集概念，掌握解法与规律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。</w:t>
      </w:r>
    </w:p>
    <w:p w14:paraId="0BCF1733">
      <w:pPr>
        <w:numPr>
          <w:ilvl w:val="0"/>
          <w:numId w:val="2"/>
        </w:numPr>
        <w:tabs>
          <w:tab w:val="left" w:pos="312"/>
          <w:tab w:val="clear" w:pos="732"/>
        </w:tabs>
        <w:spacing w:line="360" w:lineRule="auto"/>
        <w:ind w:left="420" w:leftChars="0" w:firstLine="0" w:firstLineChars="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/>
          <w:b w:val="0"/>
          <w:bCs/>
          <w:szCs w:val="21"/>
          <w:lang w:val="en-US" w:eastAsia="zh-CN"/>
        </w:rPr>
        <w:t>过程与方法：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经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历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建模、求解、归纳过程，提升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建模、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运算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能力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及合作探究能力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eastAsia="zh-CN"/>
        </w:rPr>
        <w:t>。</w:t>
      </w:r>
    </w:p>
    <w:p w14:paraId="474E7498">
      <w:pPr>
        <w:numPr>
          <w:ilvl w:val="0"/>
          <w:numId w:val="2"/>
        </w:numPr>
        <w:tabs>
          <w:tab w:val="left" w:pos="312"/>
          <w:tab w:val="clear" w:pos="732"/>
        </w:tabs>
        <w:spacing w:line="360" w:lineRule="auto"/>
        <w:ind w:left="420" w:leftChars="0" w:firstLine="0" w:firstLine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/>
          <w:b w:val="0"/>
          <w:bCs/>
          <w:szCs w:val="21"/>
          <w:lang w:val="en-US" w:eastAsia="zh-CN"/>
        </w:rPr>
        <w:t>情感与态度：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感受数学实用性，增强自信，培养合作意识，通过数学文化提升素养。</w:t>
      </w:r>
    </w:p>
    <w:p w14:paraId="0D957DD4">
      <w:pPr>
        <w:numPr>
          <w:ilvl w:val="0"/>
          <w:numId w:val="0"/>
        </w:numPr>
        <w:tabs>
          <w:tab w:val="left" w:pos="312"/>
        </w:tabs>
        <w:spacing w:line="360" w:lineRule="auto"/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教学重点：</w:t>
      </w:r>
    </w:p>
    <w:p w14:paraId="6B4AC51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理解一元一次不等式组及解集含义，掌握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不等式组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的解法，明确四类解集规律。</w:t>
      </w:r>
    </w:p>
    <w:p w14:paraId="7F64EBD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教学难点：</w:t>
      </w:r>
    </w:p>
    <w:p w14:paraId="4DF9A07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理解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不等式组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解集是各不等式解集公共部分的本质，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利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用数轴确定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不等式组解集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eastAsia="zh-CN"/>
        </w:rPr>
        <w:t>。</w:t>
      </w:r>
    </w:p>
    <w:p w14:paraId="5CCD589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教学过程：</w:t>
      </w:r>
    </w:p>
    <w:p w14:paraId="4B622E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课前准备与情境导入</w:t>
      </w:r>
    </w:p>
    <w:p w14:paraId="6F17BF3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课前小游戏：“数轴闯关”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 </w:t>
      </w:r>
    </w:p>
    <w:p w14:paraId="2FD809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教师活动：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在课件上展示多个一元一次不等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式：</w:t>
      </w:r>
      <m:oMath>
        <m:r>
          <m:rPr>
            <m:nor/>
          </m:rPr>
          <w:rPr>
            <w:rFonts w:hint="default" w:ascii="Times New Roman" w:hAnsi="Times New Roman" w:eastAsia="宋体" w:cs="Times New Roman"/>
            <w:i/>
            <w:iCs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x</m:t>
        </m:r>
        <m:r>
          <m:rPr>
            <m:sty m:val="p"/>
          </m:rPr>
          <w:rPr>
            <w:rFonts w:hint="default" w:ascii="Cambria Math" w:hAnsi="Cambria Math" w:eastAsia="宋体" w:cs="Cambria Math"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&gt;</m:t>
        </m:r>
        <m:r>
          <m:rPr>
            <m:sty m:val="p"/>
          </m:rPr>
          <w:rPr>
            <w:rFonts w:hint="default" w:ascii="Cambria Math" w:hAnsi="Cambria Math" w:eastAsia="宋体" w:cs="Segoe UI"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3</m:t>
        </m:r>
      </m:oMath>
      <w:r>
        <w:rPr>
          <w:rFonts w:hint="eastAsia" w:ascii="Segoe UI" w:hAnsi="Segoe UI" w:eastAsia="宋体" w:cs="Segoe UI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、</w:t>
      </w:r>
      <m:oMath>
        <m:r>
          <m:rPr>
            <m:nor/>
          </m:rPr>
          <w:rPr>
            <w:rFonts w:hint="default" w:ascii="Times New Roman" w:hAnsi="Times New Roman" w:eastAsia="宋体" w:cs="Times New Roman"/>
            <w:i/>
            <w:iCs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x</m:t>
        </m:r>
        <m:r>
          <m:rPr/>
          <w:rPr>
            <w:rFonts w:hint="default" w:ascii="Cambria Math" w:hAnsi="Cambria Math" w:eastAsia="宋体" w:cs="Cambria Math"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≤</m:t>
        </m:r>
        <m:r>
          <m:rPr>
            <m:sty m:val="p"/>
          </m:rPr>
          <w:rPr>
            <w:rFonts w:hint="default" w:ascii="Times New Roman" w:hAnsi="Times New Roman" w:eastAsia="宋体" w:cs="Times New Roman"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5</m:t>
        </m:r>
      </m:oMath>
      <w:r>
        <w:rPr>
          <w:rFonts w:hint="eastAsia" w:hAnsi="Times New Roman" w:eastAsia="宋体" w:cs="Times New Roman"/>
          <w:i w:val="0"/>
          <w:iCs/>
          <w:caps w:val="0"/>
          <w:color w:val="000000"/>
          <w:spacing w:val="0"/>
          <w:kern w:val="2"/>
          <w:sz w:val="21"/>
          <w:szCs w:val="21"/>
          <w:lang w:val="en-US" w:eastAsia="zh-CN" w:bidi="ar-SA"/>
        </w:rPr>
        <w:t>、</w:t>
      </w:r>
      <m:oMath>
        <m:r>
          <m:rPr>
            <m:nor/>
          </m:rPr>
          <w:rPr>
            <w:rFonts w:hint="default" w:ascii="Times New Roman" w:hAnsi="Times New Roman" w:eastAsia="宋体" w:cs="Times New Roman"/>
            <w:i/>
            <w:iCs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x</m:t>
        </m:r>
        <m:r>
          <m:rPr/>
          <w:rPr>
            <w:rFonts w:hint="default" w:ascii="Cambria Math" w:hAnsi="Cambria Math" w:eastAsia="宋体" w:cs="Cambria Math"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&lt;</m:t>
        </m:r>
        <m:r>
          <m:rPr>
            <m:sty m:val="p"/>
          </m:rPr>
          <w:rPr>
            <w:rFonts w:hint="eastAsia" w:ascii="Times New Roman" w:hAnsi="Times New Roman" w:eastAsia="宋体" w:cs="Times New Roman"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−1</m:t>
        </m:r>
      </m:oMath>
      <w:r>
        <w:rPr>
          <w:rFonts w:hint="eastAsia" w:hAnsi="Times New Roman" w:eastAsia="宋体" w:cs="Times New Roman"/>
          <w:i w:val="0"/>
          <w:iCs/>
          <w:caps w:val="0"/>
          <w:color w:val="000000"/>
          <w:spacing w:val="0"/>
          <w:kern w:val="2"/>
          <w:sz w:val="21"/>
          <w:szCs w:val="21"/>
          <w:lang w:val="en-US" w:eastAsia="zh-CN" w:bidi="ar-SA"/>
        </w:rPr>
        <w:t>、</w:t>
      </w:r>
      <m:oMath>
        <m:r>
          <m:rPr>
            <m:nor/>
          </m:rPr>
          <w:rPr>
            <w:rFonts w:hint="default" w:ascii="Times New Roman" w:hAnsi="Times New Roman" w:eastAsia="宋体" w:cs="Times New Roman"/>
            <w:i/>
            <w:iCs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x</m:t>
        </m:r>
        <m:r>
          <m:rPr/>
          <w:rPr>
            <w:rFonts w:hint="default" w:ascii="Cambria Math" w:hAnsi="Cambria Math" w:eastAsia="宋体" w:cs="Cambria Math"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≥</m:t>
        </m:r>
        <m:r>
          <m:rPr/>
          <w:rPr>
            <w:rFonts w:hint="eastAsia" w:ascii="Cambria Math" w:hAnsi="Cambria Math" w:eastAsia="宋体" w:cs="Cambria Math"/>
            <w:caps w:val="0"/>
            <w:color w:val="000000"/>
            <w:spacing w:val="0"/>
            <w:kern w:val="2"/>
            <w:sz w:val="21"/>
            <w:szCs w:val="21"/>
            <w:lang w:val="en-US" w:eastAsia="zh-CN" w:bidi="ar-SA"/>
          </w:rPr>
          <m:t>0</m:t>
        </m:r>
      </m:oMath>
      <w:r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让学生快速判断并在课前准备的数轴卡片上标注。每组派1名代表上台展示标注结果，教师根据标注准确性给小组积分（正确得2分，错误由同组组员纠正后得1分）。 </w:t>
      </w:r>
    </w:p>
    <w:p w14:paraId="454A2C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Segoe UI" w:hAnsi="Segoe UI" w:eastAsia="宋体" w:cs="Segoe UI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学生活动：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学生经过思考在数轴卡片上标注出相应的解集，并派小组代表上台展示标注结果。</w:t>
      </w:r>
    </w:p>
    <w:p w14:paraId="40FFB9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楷体" w:hAnsi="楷体" w:eastAsia="楷体" w:cs="楷体"/>
          <w:b w:val="0"/>
          <w:bCs w:val="0"/>
          <w:sz w:val="21"/>
          <w:szCs w:val="21"/>
        </w:rPr>
        <w:t>〖设计意图〗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通过游戏复习数轴表示不等式解集的知识，强化“实心圆点表示包含端点、空心圆点表示不包含端点”的易错点，为新课中用数轴确定公共部分奠定基础。同时，小组竞赛活跃课堂氛围，激发学生参与热情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 w14:paraId="79782D2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情境导入：实际问题引出新知</w:t>
      </w:r>
    </w:p>
    <w:p w14:paraId="6E447B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教师活动：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多媒体展示教材中的“抽水机抽污水”问题：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某工厂污水管道里积存了一些污水，需要用每分钟可抽30t的抽水机抽完。估计积存的污水不少于1200t且不超过1500t，那么需要多少时间能将污水抽完？</w:t>
      </w:r>
    </w:p>
    <w:p w14:paraId="0953ED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引导学生分析问题：题目中的关键信息是什么？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不少于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不超过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分别对应什么不等号？未知数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需要满足几个不等关系？</w:t>
      </w:r>
    </w:p>
    <w:p w14:paraId="5B3713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学生活动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学生经过思考举手回答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。</w:t>
      </w:r>
    </w:p>
    <w:p w14:paraId="263D06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sz w:val="21"/>
          <w:szCs w:val="21"/>
        </w:rPr>
        <w:t>〖设计意图〗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依据教材分析“一元一次不等式组是对‘多个不等关系同时成立’实际需求的数学抽象”，结合学情中“学生迁移能力不足，需从具体问题入手”的特点，以“抽水机抽污水”实际问题导入。通过引导学生分析“不少于”“不超过”的不等关系，列出两个不等式，让学生直观感受“多个限制条件同时存在”的现实场景。这一过程呼应教材中“从实际问题到数学建模”的思路，帮助学生理解学习不等式组的必要性。同时，问题驱动符合学生“乐于互动讨论”的特点，为抽象不等式组概念提供具体支撑，初步培养数学建模能力，落实思想层面“模型思想渗透”的要求。</w:t>
      </w:r>
    </w:p>
    <w:p w14:paraId="0DE57FE3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探究新知：概念形成与解集确定</w:t>
      </w:r>
    </w:p>
    <w:p w14:paraId="78313148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一元一次不等式组的概念</w:t>
      </w:r>
    </w:p>
    <w:p w14:paraId="459EE0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教师活动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引导学生观察刚才列出的两个不等式</w:t>
      </w:r>
      <m:oMath>
        <m:d>
          <m:dPr>
            <m:begChr m:val="{"/>
            <m:endChr m:val=""/>
            <m:ctrlPr>
              <w:rPr>
                <w:rFonts w:hint="default" w:ascii="Cambria Math" w:hAnsi="Cambria Math" w:cs="Arial Narrow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hint="default" w:ascii="Cambria Math" w:hAnsi="Cambria Math" w:cs="Arial Narrow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30x</m:t>
                </m:r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≥</m:t>
                </m:r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1200</m:t>
                </m:r>
                <m:ctrlPr>
                  <w:rPr>
                    <w:rFonts w:hint="default" w:ascii="Cambria Math" w:hAnsi="Cambria Math" w:cs="Arial Narrow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30x</m:t>
                </m:r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≤</m:t>
                </m:r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1500</m:t>
                </m:r>
                <m:ctrlPr>
                  <w:rPr>
                    <w:rFonts w:hint="default" w:ascii="Cambria Math" w:hAnsi="Cambria Math" w:cs="Arial Narrow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hint="default" w:ascii="Cambria Math" w:hAnsi="Cambria Math" w:cs="Arial Narrow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并提问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：这两个不等式有什么共同特征？</w:t>
      </w:r>
    </w:p>
    <w:p w14:paraId="068EF2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学生活动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对比分析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这两个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不等式，归纳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共同特征：都是一元一次不等式，且未知数相同。</w:t>
      </w:r>
    </w:p>
    <w:p w14:paraId="6B56B0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教师活动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学生回答后，教师总结：像这样，关于同一个未知数的几个一元一次不等式合在一起，就组成了一元一次不等式组。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随后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展示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四个不等式组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：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3x−1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5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x+1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&lt;</m:t>
                </m:r>
                <m:r>
                  <m:rPr/>
                  <w:rPr>
                    <w:rFonts w:hint="eastAsia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7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  <m:r>
          <m:rPr/>
          <w:rPr>
            <w:rFonts w:hint="eastAsia" w:ascii="Cambria Math" w:hAnsi="Cambria Math" w:cs="宋体"/>
            <w:caps w:val="0"/>
            <w:color w:val="000000"/>
            <w:spacing w:val="0"/>
            <w:sz w:val="21"/>
            <w:szCs w:val="21"/>
            <w:lang w:eastAsia="zh-CN"/>
          </w:rPr>
          <m:t>、</m:t>
        </m:r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eastAsia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2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x+1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0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3y−2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&lt;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5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hAnsi="Cambria Math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、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x−1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2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sSup>
                  <m:sSupP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000000"/>
                        <w:spacing w:val="0"/>
                        <w:sz w:val="21"/>
                        <w:szCs w:val="21"/>
                      </w:rPr>
                    </m:ctrlPr>
                  </m:sSupPr>
                  <m:e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000000"/>
                        <w:spacing w:val="0"/>
                        <w:sz w:val="21"/>
                        <w:szCs w:val="21"/>
                        <w:lang w:val="en-US" w:eastAsia="zh-CN"/>
                      </w:rPr>
                      <m:t>x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000000"/>
                        <w:spacing w:val="0"/>
                        <w:sz w:val="21"/>
                        <w:szCs w:val="21"/>
                      </w:rPr>
                    </m:ctrlPr>
                  </m:e>
                  <m:sup>
                    <m:r>
                      <m:rPr/>
                      <w:rPr>
                        <w:rFonts w:hint="default" w:ascii="Cambria Math" w:hAnsi="Cambria Math" w:cs="宋体"/>
                        <w:caps w:val="0"/>
                        <w:color w:val="000000"/>
                        <w:spacing w:val="0"/>
                        <w:sz w:val="21"/>
                        <w:szCs w:val="21"/>
                        <w:lang w:val="en-US" w:eastAsia="zh-CN"/>
                      </w:rPr>
                      <m:t>2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color w:val="000000"/>
                        <w:spacing w:val="0"/>
                        <w:sz w:val="21"/>
                        <w:szCs w:val="21"/>
                      </w:rPr>
                    </m:ctrlPr>
                  </m:sup>
                </m:sSup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+1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&lt;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10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hAnsi="Cambria Math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、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&lt;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1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，让学生判断是否为一元一次不等式组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 w14:paraId="01350A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学生活动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完成以上四个不等式组的判断，进一步理解一元一次不等式组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“同一未知数”“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未知数次数为1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的关键特征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。</w:t>
      </w:r>
    </w:p>
    <w:p w14:paraId="57C32C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楷体" w:hAnsi="楷体" w:eastAsia="楷体" w:cs="楷体"/>
          <w:b w:val="0"/>
          <w:bCs w:val="0"/>
          <w:sz w:val="21"/>
          <w:szCs w:val="21"/>
        </w:rPr>
        <w:t>〖设计意图〗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通过实例归纳与反例辨析结合的方式教学。先引导学生观察实际问题中的不等式特征，自主归纳概念要素；再通过含不同未知数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、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未知数次数不为1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的反例对比，强化“同一未知数”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“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未知数次数为1”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的核心要求。这一过程既符合知识层面“明确概念内涵”的目标，又通过“观察—归纳—辨析”的思维活动，培养学生抽象概括能力。</w:t>
      </w:r>
    </w:p>
    <w:p w14:paraId="1360E6E7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不等式组的解集含义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 </w:t>
      </w:r>
    </w:p>
    <w:p w14:paraId="47A2E9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教师活动：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承接情境问题，提问：在抽水问题中，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我们得到两个一元一次不等式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30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≥1200和30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≤1500，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它们的解集分别是什么？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那么同时满足这两个条件的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的取值范围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是什么？引入“解集”概念：不等式组中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几个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不等式的解集的公共部分，叫做这个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等式组的解集。</w:t>
      </w:r>
    </w:p>
    <w:p w14:paraId="504119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学生活动：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独立思考后，结合生活经验理解“同时满足”的含义：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既要大于等于40，又要小于等于50，所以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的范围是40到50之间（包括40和50）。</w:t>
      </w:r>
    </w:p>
    <w:p w14:paraId="1E76D85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1"/>
          <w:szCs w:val="21"/>
        </w:rPr>
        <w:t>〖设计意图〗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通过引导学生思考“</w:t>
      </w:r>
      <w:r>
        <w:rPr>
          <w:rFonts w:hint="default" w:ascii="Times New Roman" w:hAnsi="Times New Roman" w:eastAsia="楷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需同时满足两个不等式”的现实意义，将抽象的“公共部分”转化为“40≤</w:t>
      </w:r>
      <w:r>
        <w:rPr>
          <w:rFonts w:hint="default" w:ascii="Times New Roman" w:hAnsi="Times New Roman" w:eastAsia="楷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≤50”的具体范围，帮助学生直观理解解集含义。这种“从具体到抽象”的过程，符合七年级学生“形象思维向抽象思维过渡”的思维特点，降低概念理解难度。同时，让学生用自己的语言描述“公共部分”，既落实能力层面“语言表达能力培养”，又为后续利用数轴找公共部分埋下伏笔，渗透数形结合思想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 w14:paraId="5C39DC6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解不等式组的步骤</w:t>
      </w:r>
    </w:p>
    <w:p w14:paraId="7AED62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教师活动：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板书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示范解不等式组</w:t>
      </w:r>
      <m:oMath>
        <m:d>
          <m:dPr>
            <m:begChr m:val="{"/>
            <m:endChr m:val=""/>
            <m:ctrlPr>
              <w:rPr>
                <w:rFonts w:hint="default" w:ascii="Cambria Math" w:hAnsi="Cambria Math" w:cs="Arial Narrow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hint="default" w:ascii="Cambria Math" w:hAnsi="Cambria Math" w:cs="Arial Narrow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30x</m:t>
                </m:r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≥</m:t>
                </m:r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 xml:space="preserve">1200 </m:t>
                </m:r>
                <m:r>
                  <m:rPr>
                    <m:sty m:val="p"/>
                  </m:rPr>
                  <w:rPr>
                    <w:rFonts w:hint="eastAsia" w:ascii="宋体" w:hAnsi="宋体" w:eastAsia="宋体" w:cs="宋体"/>
                    <w:caps w:val="0"/>
                    <w:color w:val="000000"/>
                    <w:spacing w:val="0"/>
                    <w:sz w:val="21"/>
                    <w:szCs w:val="21"/>
                  </w:rPr>
                  <m:t>①</m:t>
                </m:r>
                <m:ctrlPr>
                  <w:rPr>
                    <w:rFonts w:hint="default" w:ascii="Cambria Math" w:hAnsi="Cambria Math" w:cs="Arial Narrow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30x</m:t>
                </m:r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≤</m:t>
                </m:r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 xml:space="preserve">1500 </m:t>
                </m:r>
                <m:r>
                  <m:rPr>
                    <m:sty m:val="p"/>
                  </m:rPr>
                  <w:rPr>
                    <w:rFonts w:hint="eastAsia" w:ascii="宋体" w:hAnsi="宋体" w:eastAsia="宋体" w:cs="宋体"/>
                    <w:caps w:val="0"/>
                    <w:color w:val="000000"/>
                    <w:spacing w:val="0"/>
                    <w:sz w:val="21"/>
                    <w:szCs w:val="21"/>
                  </w:rPr>
                  <m:t>②</m:t>
                </m:r>
                <m:r>
                  <m:rPr/>
                  <w:rPr>
                    <w:rFonts w:hint="default" w:ascii="Cambria Math" w:hAnsi="Cambria Math" w:cs="Arial Narrow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 xml:space="preserve"> </m:t>
                </m:r>
                <m:ctrlPr>
                  <w:rPr>
                    <w:rFonts w:hint="default" w:ascii="Cambria Math" w:hAnsi="Cambria Math" w:cs="Arial Narrow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hint="default" w:ascii="Cambria Math" w:hAnsi="Cambria Math" w:cs="Arial Narrow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的完整步骤： </w:t>
      </w:r>
    </w:p>
    <w:p w14:paraId="25260F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jc w:val="center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解：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解不等式①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得</w:t>
      </w:r>
      <m:oMath>
        <m:r>
          <m:rPr/>
          <w:rPr>
            <w:rFonts w:hint="default" w:ascii="Cambria Math" w:hAnsi="Cambria Math" w:cs="Arial Narrow"/>
            <w:caps w:val="0"/>
            <w:color w:val="000000"/>
            <w:spacing w:val="0"/>
            <w:sz w:val="21"/>
            <w:szCs w:val="21"/>
            <w:lang w:val="en-US" w:eastAsia="zh-CN"/>
          </w:rPr>
          <m:t>x</m:t>
        </m:r>
        <m:r>
          <m:rPr/>
          <w:rPr>
            <w:rFonts w:hint="default" w:ascii="Cambria Math" w:hAnsi="Cambria Math" w:cs="Arial Narrow"/>
            <w:caps w:val="0"/>
            <w:color w:val="000000"/>
            <w:spacing w:val="0"/>
            <w:sz w:val="21"/>
            <w:szCs w:val="21"/>
            <w:lang w:val="en-US"/>
          </w:rPr>
          <m:t>≥</m:t>
        </m:r>
        <m:r>
          <m:rPr/>
          <w:rPr>
            <w:rFonts w:hint="eastAsia" w:ascii="Cambria Math" w:hAnsi="Cambria Math" w:cs="Arial Narrow"/>
            <w:caps w:val="0"/>
            <w:color w:val="000000"/>
            <w:spacing w:val="0"/>
            <w:sz w:val="21"/>
            <w:szCs w:val="21"/>
            <w:lang w:val="en-US" w:eastAsia="zh-CN"/>
          </w:rPr>
          <m:t>4</m:t>
        </m:r>
        <m:r>
          <m:rPr/>
          <w:rPr>
            <w:rFonts w:hint="default" w:ascii="Cambria Math" w:hAnsi="Cambria Math" w:cs="Arial Narrow"/>
            <w:caps w:val="0"/>
            <w:color w:val="000000"/>
            <w:spacing w:val="0"/>
            <w:sz w:val="21"/>
            <w:szCs w:val="21"/>
            <w:lang w:val="en-US" w:eastAsia="zh-CN"/>
          </w:rPr>
          <m:t>0</m:t>
        </m:r>
      </m:oMath>
      <w:r>
        <w:rPr>
          <w:rFonts w:hint="eastAsia" w:hAnsi="Cambria Math" w:cs="Arial Narrow"/>
          <w:i w:val="0"/>
          <w:caps w:val="0"/>
          <w:color w:val="000000"/>
          <w:spacing w:val="0"/>
          <w:sz w:val="21"/>
          <w:szCs w:val="21"/>
          <w:lang w:val="en-US" w:eastAsia="zh-CN"/>
        </w:rPr>
        <w:t>.</w:t>
      </w:r>
    </w:p>
    <w:p w14:paraId="567137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jc w:val="center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解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不等式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得</w:t>
      </w:r>
      <m:oMath>
        <m:r>
          <m:rPr/>
          <w:rPr>
            <w:rFonts w:hint="default" w:ascii="Cambria Math" w:hAnsi="Cambria Math" w:cs="Arial Narrow"/>
            <w:caps w:val="0"/>
            <w:color w:val="000000"/>
            <w:spacing w:val="0"/>
            <w:sz w:val="21"/>
            <w:szCs w:val="21"/>
            <w:lang w:val="en-US" w:eastAsia="zh-CN"/>
          </w:rPr>
          <m:t>x</m:t>
        </m:r>
        <m:r>
          <m:rPr/>
          <w:rPr>
            <w:rFonts w:hint="default" w:ascii="Cambria Math" w:hAnsi="Cambria Math" w:cs="Arial Narrow"/>
            <w:caps w:val="0"/>
            <w:color w:val="000000"/>
            <w:spacing w:val="0"/>
            <w:sz w:val="21"/>
            <w:szCs w:val="21"/>
            <w:lang w:val="en-US"/>
          </w:rPr>
          <m:t>≤</m:t>
        </m:r>
        <m:r>
          <m:rPr/>
          <w:rPr>
            <w:rFonts w:hint="default" w:ascii="Cambria Math" w:hAnsi="Cambria Math" w:cs="Arial Narrow"/>
            <w:caps w:val="0"/>
            <w:color w:val="000000"/>
            <w:spacing w:val="0"/>
            <w:sz w:val="21"/>
            <w:szCs w:val="21"/>
            <w:lang w:val="en-US" w:eastAsia="zh-CN"/>
          </w:rPr>
          <m:t>50</m:t>
        </m:r>
      </m:oMath>
      <w:r>
        <w:rPr>
          <w:rFonts w:hint="eastAsia" w:hAnsi="Cambria Math" w:cs="Arial Narrow"/>
          <w:i w:val="0"/>
          <w:caps w:val="0"/>
          <w:color w:val="000000"/>
          <w:spacing w:val="0"/>
          <w:sz w:val="21"/>
          <w:szCs w:val="21"/>
          <w:lang w:val="en-US" w:eastAsia="zh-CN"/>
        </w:rPr>
        <w:t>.</w:t>
      </w:r>
    </w:p>
    <w:p w14:paraId="0803C5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在同一数轴上表示出不等式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①②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的解集，可知所求不等式组的解集是：</w:t>
      </w:r>
    </w:p>
    <w:p w14:paraId="056B57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jc w:val="center"/>
        <w:textAlignment w:val="auto"/>
        <w:rPr>
          <w:rFonts w:hint="eastAsia" w:hAnsi="Cambria Math" w:cs="Arial Narrow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m:oMath>
        <m:r>
          <m:rPr/>
          <w:rPr>
            <w:rFonts w:hint="eastAsia" w:ascii="Cambria Math" w:hAnsi="宋体" w:eastAsia="宋体" w:cs="宋体"/>
            <w:caps w:val="0"/>
            <w:color w:val="000000"/>
            <w:spacing w:val="0"/>
            <w:sz w:val="21"/>
            <w:szCs w:val="21"/>
            <w:lang w:val="en-US" w:eastAsia="zh-CN"/>
          </w:rPr>
          <m:t>40</m:t>
        </m:r>
        <m:r>
          <m:rPr/>
          <w:rPr>
            <w:rFonts w:ascii="Cambria Math" w:hAnsi="Cambria Math" w:cs="宋体"/>
            <w:caps w:val="0"/>
            <w:color w:val="000000"/>
            <w:spacing w:val="0"/>
            <w:sz w:val="21"/>
            <w:szCs w:val="21"/>
            <w:lang w:val="en-US"/>
          </w:rPr>
          <m:t>≤</m:t>
        </m:r>
        <m:r>
          <m:rPr/>
          <w:rPr>
            <w:rFonts w:hint="default" w:ascii="Cambria Math" w:hAnsi="Cambria Math" w:cs="Arial Narrow"/>
            <w:caps w:val="0"/>
            <w:color w:val="000000"/>
            <w:spacing w:val="0"/>
            <w:sz w:val="21"/>
            <w:szCs w:val="21"/>
            <w:lang w:val="en-US" w:eastAsia="zh-CN"/>
          </w:rPr>
          <m:t>x</m:t>
        </m:r>
        <m:r>
          <m:rPr/>
          <w:rPr>
            <w:rFonts w:hint="default" w:ascii="Cambria Math" w:hAnsi="Cambria Math" w:cs="Arial Narrow"/>
            <w:caps w:val="0"/>
            <w:color w:val="000000"/>
            <w:spacing w:val="0"/>
            <w:sz w:val="21"/>
            <w:szCs w:val="21"/>
            <w:lang w:val="en-US"/>
          </w:rPr>
          <m:t>≤</m:t>
        </m:r>
        <m:r>
          <m:rPr/>
          <w:rPr>
            <w:rFonts w:hint="default" w:ascii="Cambria Math" w:hAnsi="Cambria Math" w:cs="Arial Narrow"/>
            <w:caps w:val="0"/>
            <w:color w:val="000000"/>
            <w:spacing w:val="0"/>
            <w:sz w:val="21"/>
            <w:szCs w:val="21"/>
            <w:lang w:val="en-US" w:eastAsia="zh-CN"/>
          </w:rPr>
          <m:t>50</m:t>
        </m:r>
      </m:oMath>
      <w:r>
        <w:rPr>
          <w:rFonts w:hint="eastAsia" w:hAnsi="Cambria Math" w:cs="Arial Narrow"/>
          <w:i w:val="0"/>
          <w:caps w:val="0"/>
          <w:color w:val="000000"/>
          <w:spacing w:val="0"/>
          <w:sz w:val="21"/>
          <w:szCs w:val="21"/>
          <w:lang w:val="en-US" w:eastAsia="zh-CN"/>
        </w:rPr>
        <w:t>.</w:t>
      </w:r>
    </w:p>
    <w:p w14:paraId="5C7676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jc w:val="center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drawing>
          <wp:inline distT="0" distB="0" distL="114300" distR="114300">
            <wp:extent cx="2606040" cy="458470"/>
            <wp:effectExtent l="0" t="0" r="0" b="13970"/>
            <wp:docPr id="1" name="图片 1" descr="82ebde5f6902dfde7179eb15457e0c5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2ebde5f6902dfde7179eb15457e0c54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45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5B8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随后让学生分组操作：奇数组解不等式组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x+2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1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2x−1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≤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5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，偶数组解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3x−1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2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x+3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&lt;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7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，组长带领组员完成“求解—标注—找公共部分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—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得出解集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”流程，教师巡视指导，重点纠正数轴标注错误（如射线画反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）。 </w:t>
      </w:r>
    </w:p>
    <w:p w14:paraId="0E56CD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学生活动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：分组合作，先独立解每个不等式，再在小组内核对解集；然后在练习本上画数轴，标注两个解集，组长检查组员的数轴标注是否规范（圆点类型、射线方向）；最后共同讨论公共部分，得出不等式组的解集。</w:t>
      </w:r>
    </w:p>
    <w:p w14:paraId="0989A15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1"/>
          <w:szCs w:val="21"/>
        </w:rPr>
        <w:t>〖设计意图〗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采用“教师示范—小组合作—兵教兵”的模式。让小组分工完成任务，组长检查组员数轴标注（圆点类型、射线方向），及时纠正错误。这一设计既强化了解不等式组的核心步骤，又通过小组互助落实“兵教兵”策略。学生在动手操作中提升代数运算能力（解不等式）和几何直观能力（数轴应用），体会“数与形”的转化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 w14:paraId="0FE100FA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例题讲解：深化解法与规律归纳</w:t>
      </w:r>
    </w:p>
    <w:p w14:paraId="79EE0392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 xml:space="preserve">例1：基础型不等式组（同大取大） </w:t>
      </w:r>
    </w:p>
    <w:p w14:paraId="5D5BB9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教师活动：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展示例1：解不等式组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3x−1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 xml:space="preserve">2x+1 </m:t>
                </m:r>
                <m:r>
                  <m:rPr>
                    <m:sty m:val="p"/>
                  </m:rPr>
                  <w:rPr>
                    <w:rFonts w:hint="eastAsia" w:ascii="宋体" w:hAnsi="宋体" w:eastAsia="宋体" w:cs="宋体"/>
                    <w:caps w:val="0"/>
                    <w:color w:val="000000"/>
                    <w:spacing w:val="0"/>
                    <w:sz w:val="21"/>
                    <w:szCs w:val="21"/>
                  </w:rPr>
                  <m:t>①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2x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 xml:space="preserve">8                   </m:t>
                </m:r>
                <m:r>
                  <m:rPr>
                    <m:sty m:val="p"/>
                  </m:rPr>
                  <w:rPr>
                    <w:rFonts w:hint="eastAsia" w:ascii="宋体" w:hAnsi="宋体" w:eastAsia="宋体" w:cs="宋体"/>
                    <w:caps w:val="0"/>
                    <w:color w:val="000000"/>
                    <w:spacing w:val="0"/>
                    <w:sz w:val="21"/>
                    <w:szCs w:val="21"/>
                  </w:rPr>
                  <m:t>②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。提问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：解这个不等式组的第一步是什么？引导学生先分别解两个不等式：解①得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＞2，解②得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＞4。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  <w:t>提问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  <w:t>接下来我们要做什么？待学生回答后，教师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在黑板上画数轴，标注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＞2和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＞4，提问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：这两个解集的公共部分是什么？引导学生观察数轴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找出公共部分并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得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到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＞4，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总结规律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两个解集都是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大于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，公共部分取较大的那个数，即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同大取大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。</w:t>
      </w:r>
    </w:p>
    <w:p w14:paraId="14B6A9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学生活动：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跟随教师步骤，在草稿本上独立解不等式，核对解集是否正确；观察教师标注的数轴，指出公共部分。 </w:t>
      </w:r>
    </w:p>
    <w:p w14:paraId="3E9896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楷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1"/>
          <w:szCs w:val="21"/>
        </w:rPr>
        <w:t>〖设计意图〗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通过基础例题巩固解法，结合数轴直观得出“同大取大”的规律，让学生从具体实例中归纳抽象规律，降低记忆难度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 w14:paraId="7D26863C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例2：无解型不等式组（大大小小无处找）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 </w:t>
      </w:r>
    </w:p>
    <w:p w14:paraId="4F0F8C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教师活动：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展示例2：解不等式组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2x+1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&lt;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 xml:space="preserve">−1 </m:t>
                </m:r>
                <m:r>
                  <m:rPr>
                    <m:sty m:val="p"/>
                  </m:rPr>
                  <w:rPr>
                    <w:rFonts w:hint="eastAsia" w:ascii="宋体" w:hAnsi="宋体" w:eastAsia="宋体" w:cs="宋体"/>
                    <w:caps w:val="0"/>
                    <w:color w:val="000000"/>
                    <w:spacing w:val="0"/>
                    <w:sz w:val="21"/>
                    <w:szCs w:val="21"/>
                  </w:rPr>
                  <m:t>①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3−x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≤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 xml:space="preserve">1       </m:t>
                </m:r>
                <m:r>
                  <m:rPr>
                    <m:sty m:val="p"/>
                  </m:rPr>
                  <w:rPr>
                    <w:rFonts w:hint="eastAsia" w:ascii="宋体" w:hAnsi="宋体" w:eastAsia="宋体" w:cs="宋体"/>
                    <w:caps w:val="0"/>
                    <w:color w:val="000000"/>
                    <w:spacing w:val="0"/>
                    <w:sz w:val="21"/>
                    <w:szCs w:val="21"/>
                  </w:rPr>
                  <m:t>②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。让学生先独立尝试求解，教师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进行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巡视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发现问题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并及时纠正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部分学生解②时易忽略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系数化为1的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变号，得出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≤2。针对错误，教师强调：解</w:t>
      </w:r>
      <m:oMath>
        <m:r>
          <m:rPr/>
          <w:rPr>
            <w:rFonts w:hint="default" w:ascii="Cambria Math" w:hAnsi="Cambria Math" w:cs="宋体"/>
            <w:caps w:val="0"/>
            <w:color w:val="000000"/>
            <w:spacing w:val="0"/>
            <w:sz w:val="21"/>
            <w:szCs w:val="21"/>
            <w:lang w:val="en-US" w:eastAsia="zh-CN"/>
          </w:rPr>
          <m:t>3−x</m:t>
        </m:r>
        <m:r>
          <m:rPr/>
          <w:rPr>
            <w:rFonts w:hint="eastAsia" w:ascii="Cambria Math" w:hAnsi="Cambria Math" w:cs="宋体"/>
            <w:caps w:val="0"/>
            <w:color w:val="000000"/>
            <w:spacing w:val="0"/>
            <w:sz w:val="21"/>
            <w:szCs w:val="21"/>
            <w:lang w:val="en-US" w:eastAsia="zh-CN"/>
          </w:rPr>
          <m:t>≤</m:t>
        </m:r>
        <m:r>
          <m:rPr/>
          <w:rPr>
            <w:rFonts w:hint="default" w:ascii="Cambria Math" w:hAnsi="Cambria Math" w:cs="宋体"/>
            <w:caps w:val="0"/>
            <w:color w:val="000000"/>
            <w:spacing w:val="0"/>
            <w:sz w:val="21"/>
            <w:szCs w:val="21"/>
            <w:lang w:val="en-US" w:eastAsia="zh-CN"/>
          </w:rPr>
          <m:t>1</m:t>
        </m:r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时，移项得</w:t>
      </w:r>
      <m:oMath>
        <m:r>
          <m:rPr/>
          <w:rPr>
            <w:rFonts w:hint="default" w:ascii="Cambria Math" w:hAnsi="Cambria Math" w:cs="宋体"/>
            <w:caps w:val="0"/>
            <w:color w:val="000000"/>
            <w:spacing w:val="0"/>
            <w:sz w:val="21"/>
            <w:szCs w:val="21"/>
            <w:lang w:val="en-US" w:eastAsia="zh-CN"/>
          </w:rPr>
          <m:t>−x</m:t>
        </m:r>
        <m:r>
          <m:rPr/>
          <w:rPr>
            <w:rFonts w:ascii="Cambria Math" w:hAnsi="Cambria Math" w:cs="宋体"/>
            <w:caps w:val="0"/>
            <w:color w:val="000000"/>
            <w:spacing w:val="0"/>
            <w:sz w:val="21"/>
            <w:szCs w:val="21"/>
            <w:lang w:val="en-US"/>
          </w:rPr>
          <m:t>≤</m:t>
        </m:r>
        <m:r>
          <m:rPr/>
          <w:rPr>
            <w:rFonts w:hint="default" w:ascii="Cambria Math" w:hAnsi="Cambria Math" w:cs="宋体"/>
            <w:caps w:val="0"/>
            <w:color w:val="000000"/>
            <w:spacing w:val="0"/>
            <w:sz w:val="21"/>
            <w:szCs w:val="21"/>
            <w:lang w:val="en-US" w:eastAsia="zh-CN"/>
          </w:rPr>
          <m:t>1−</m:t>
        </m:r>
        <m:r>
          <m:rPr/>
          <w:rPr>
            <w:rFonts w:hint="eastAsia" w:ascii="Cambria Math" w:hAnsi="Cambria Math" w:cs="宋体"/>
            <w:caps w:val="0"/>
            <w:color w:val="000000"/>
            <w:spacing w:val="0"/>
            <w:sz w:val="21"/>
            <w:szCs w:val="21"/>
            <w:lang w:val="en-US" w:eastAsia="zh-CN"/>
          </w:rPr>
          <m:t>3</m:t>
        </m:r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，即</w:t>
      </w:r>
      <m:oMath>
        <m:r>
          <m:rPr/>
          <w:rPr>
            <w:rFonts w:hint="default" w:ascii="Cambria Math" w:hAnsi="Cambria Math" w:cs="宋体"/>
            <w:caps w:val="0"/>
            <w:color w:val="000000"/>
            <w:spacing w:val="0"/>
            <w:sz w:val="21"/>
            <w:szCs w:val="21"/>
            <w:lang w:val="en-US" w:eastAsia="zh-CN"/>
          </w:rPr>
          <m:t>−x</m:t>
        </m:r>
        <m:r>
          <m:rPr/>
          <w:rPr>
            <w:rFonts w:ascii="Cambria Math" w:hAnsi="Cambria Math" w:cs="宋体"/>
            <w:caps w:val="0"/>
            <w:color w:val="000000"/>
            <w:spacing w:val="0"/>
            <w:sz w:val="21"/>
            <w:szCs w:val="21"/>
            <w:lang w:val="en-US"/>
          </w:rPr>
          <m:t>≤</m:t>
        </m:r>
        <m:r>
          <m:rPr/>
          <w:rPr>
            <w:rFonts w:hint="default" w:ascii="Cambria Math" w:hAnsi="Cambria Math" w:cs="宋体"/>
            <w:caps w:val="0"/>
            <w:color w:val="000000"/>
            <w:spacing w:val="0"/>
            <w:sz w:val="21"/>
            <w:szCs w:val="21"/>
            <w:lang w:val="en-US" w:eastAsia="zh-CN"/>
          </w:rPr>
          <m:t>−</m:t>
        </m:r>
        <m:r>
          <m:rPr/>
          <w:rPr>
            <w:rFonts w:hint="eastAsia" w:ascii="Cambria Math" w:hAnsi="Cambria Math" w:cs="宋体"/>
            <w:caps w:val="0"/>
            <w:color w:val="000000"/>
            <w:spacing w:val="0"/>
            <w:sz w:val="21"/>
            <w:szCs w:val="21"/>
            <w:lang w:val="en-US" w:eastAsia="zh-CN"/>
          </w:rPr>
          <m:t>2</m:t>
        </m:r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  <w:t>依据“不等式的性质3：不等式两边都乘以（或都除以）同一个负数，不等号的方向改变”知，此处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系数化为1时不等号方向要改变，所以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≥2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）。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待学生依次求出不等式的解集并在数轴上标注出来后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，提问：这两个解集有公共部分吗？明确“没有公共部分时，不等式组无解”，总结规律：一个解集是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小于小的数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，一个是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大于大的数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，没有公共部分，即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大大小小无处找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。 </w:t>
      </w:r>
    </w:p>
    <w:p w14:paraId="0D3392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学生活动：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独立解不等式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部分学生在解②时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可能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出现错误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），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在数轴上标注两个解集，直观看到射线没有重叠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即没有公共部分。</w:t>
      </w:r>
    </w:p>
    <w:p w14:paraId="471674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1"/>
          <w:szCs w:val="21"/>
        </w:rPr>
        <w:t>〖设计意图〗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通过易错点强调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系数为负数时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系数化为1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变号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”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，巩固不等式解法；结合无解案例，让学生理解“无公共部分”的实际意义，完善对解集规律的认知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。</w:t>
      </w:r>
    </w:p>
    <w:p w14:paraId="71807FD5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规律总结：四种类型梳理</w:t>
      </w:r>
    </w:p>
    <w:p w14:paraId="52519F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教师活动：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课件展示四种类型不等式组及解集示例：</w:t>
      </w:r>
    </w:p>
    <w:p w14:paraId="2AC223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①同大取大：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5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→</w:t>
      </w:r>
      <w:r>
        <w:rPr>
          <w:rFonts w:hint="default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＞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5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②同小取小：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&lt;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&lt;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1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→</w:t>
      </w:r>
      <w:r>
        <w:rPr>
          <w:rFonts w:hint="eastAsia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1 </w:t>
      </w:r>
    </w:p>
    <w:p w14:paraId="4BF3A0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③大小小大中间找：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1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&lt;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→1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＜</w:t>
      </w:r>
      <w:r>
        <w:rPr>
          <w:rFonts w:hint="eastAsia" w:ascii="Times New Roman" w:hAnsi="Times New Roman" w:eastAsia="宋体" w:cs="Times New Roman"/>
          <w:i/>
          <w:iCs/>
          <w:caps w:val="0"/>
          <w:color w:val="000000"/>
          <w:spacing w:val="0"/>
          <w:sz w:val="21"/>
          <w:szCs w:val="21"/>
        </w:rPr>
        <w:t>x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3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④大大小小无处找：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3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x</m:t>
                </m:r>
                <m:r>
                  <m:rPr/>
                  <w:rPr>
                    <w:rFonts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/>
                  </w:rPr>
                  <m:t>&lt;</m:t>
                </m:r>
                <m:r>
                  <m:rPr/>
                  <w:rPr>
                    <w:rFonts w:hint="default" w:ascii="Cambria Math" w:hAnsi="Cambria Math" w:cs="宋体"/>
                    <w:caps w:val="0"/>
                    <w:color w:val="000000"/>
                    <w:spacing w:val="0"/>
                    <w:sz w:val="21"/>
                    <w:szCs w:val="21"/>
                    <w:lang w:val="en-US" w:eastAsia="zh-CN"/>
                  </w:rPr>
                  <m:t>1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color w:val="000000"/>
                    <w:spacing w:val="0"/>
                    <w:sz w:val="21"/>
                    <w:szCs w:val="21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color w:val="000000"/>
                <w:spacing w:val="0"/>
                <w:sz w:val="21"/>
                <w:szCs w:val="21"/>
              </w:rPr>
            </m:ctrlPr>
          </m:e>
        </m:d>
      </m:oMath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→无解</w:t>
      </w:r>
    </w:p>
    <w:p w14:paraId="0DB93C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引导学生分组讨论每种类型的特征，用口诀记忆规律。随后让C层学生（优等生）举例验证规律，B层学生（中等生）复述规律，A层学生（后进生）对照示例理解规律。 </w:t>
      </w:r>
    </w:p>
    <w:p w14:paraId="0F21CF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</w:rPr>
        <w:t>学生活动：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 xml:space="preserve">小组合作分析每种类型中两个解集的大小关系，A层学生在组长帮助下，结合数轴示例理解每种类型的解集范围。 </w:t>
      </w:r>
    </w:p>
    <w:p w14:paraId="0B196C7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1"/>
          <w:szCs w:val="21"/>
        </w:rPr>
        <w:t>〖设计意图〗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通过分层例题教学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，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先以基础型例题引导得出“同大取大”规律，再以无解型例题强调“大大小小无处找”，最后系统梳理四类规律。每类例题均结合数轴直观展示，帮助学生将抽象规律与具体图形结合。针对不同层次学生设计任务，符合“分层突破”策略。这一过程既落实知识层面“掌握解集规律”的目标，又通过“观察—归纳—应用”培养分类讨论思想和归纳能力，突破“解集确定困难”的难点，呼应教材中“逻辑思维能力培养”的要求。</w:t>
      </w:r>
    </w:p>
    <w:p w14:paraId="13232313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巩固练习</w:t>
      </w:r>
    </w:p>
    <w:p w14:paraId="21F9879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教师活动：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课件展示教材第72页练习题及拓展题：</w:t>
      </w:r>
    </w:p>
    <w:p w14:paraId="5DC71D4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1.填表：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4F64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3950C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不等式组</w:t>
            </w:r>
          </w:p>
        </w:tc>
        <w:tc>
          <w:tcPr>
            <w:tcW w:w="1704" w:type="dxa"/>
          </w:tcPr>
          <w:p w14:paraId="1B2093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vertAlign w:val="baseline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qArrPr>
                      <m:e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x−2</m:t>
                        </m:r>
                        <m:r>
                          <m:rPr/>
                          <w:rPr>
                            <w:rFonts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  <m:t>&lt;</m:t>
                        </m:r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0</m:t>
                        </m: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>
                      <m:e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x+3</m:t>
                        </m:r>
                        <m:r>
                          <m:rPr/>
                          <w:rPr>
                            <w:rFonts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  <m:t>&lt;</m:t>
                        </m:r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0</m:t>
                        </m: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>
                    </m:eqAr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vertAlign w:val="baseline"/>
                        <w:lang w:val="en-US"/>
                      </w:rPr>
                    </m:ctrlPr>
                  </m:e>
                </m:d>
              </m:oMath>
            </m:oMathPara>
          </w:p>
        </w:tc>
        <w:tc>
          <w:tcPr>
            <w:tcW w:w="1704" w:type="dxa"/>
          </w:tcPr>
          <w:p w14:paraId="2E12AA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vertAlign w:val="baseline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qArrPr>
                      <m:e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x−2</m:t>
                        </m:r>
                        <m:r>
                          <m:rPr/>
                          <w:rPr>
                            <w:rFonts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  <m:t>&lt;</m:t>
                        </m:r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0</m:t>
                        </m: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>
                      <m:e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x+3</m:t>
                        </m:r>
                        <m:r>
                          <m:rPr/>
                          <w:rPr>
                            <w:rFonts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  <m:t>&gt;</m:t>
                        </m:r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0</m:t>
                        </m: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>
                    </m:eqAr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vertAlign w:val="baseline"/>
                        <w:lang w:val="en-US"/>
                      </w:rPr>
                    </m:ctrlPr>
                  </m:e>
                </m:d>
              </m:oMath>
            </m:oMathPara>
          </w:p>
        </w:tc>
        <w:tc>
          <w:tcPr>
            <w:tcW w:w="1705" w:type="dxa"/>
          </w:tcPr>
          <w:p w14:paraId="3F0F54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vertAlign w:val="baseline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qArrPr>
                      <m:e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x−2</m:t>
                        </m:r>
                        <m:r>
                          <m:rPr/>
                          <w:rPr>
                            <w:rFonts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  <m:t>&gt;</m:t>
                        </m:r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0</m:t>
                        </m: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>
                      <m:e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x+3</m:t>
                        </m:r>
                        <m:r>
                          <m:rPr/>
                          <w:rPr>
                            <w:rFonts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  <m:t>&lt;</m:t>
                        </m:r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0</m:t>
                        </m: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>
                    </m:eqAr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vertAlign w:val="baseline"/>
                        <w:lang w:val="en-US"/>
                      </w:rPr>
                    </m:ctrlPr>
                  </m:e>
                </m:d>
              </m:oMath>
            </m:oMathPara>
          </w:p>
        </w:tc>
        <w:tc>
          <w:tcPr>
            <w:tcW w:w="1705" w:type="dxa"/>
          </w:tcPr>
          <w:p w14:paraId="135BEA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m:oMathPara>
              <m:oMath>
                <m:d>
                  <m:dPr>
                    <m:begChr m:val="{"/>
                    <m:endChr m:val=""/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vertAlign w:val="baseline"/>
                        <w:lang w:val="en-US"/>
                      </w:rPr>
                    </m:ctrlPr>
                  </m:dPr>
                  <m:e>
                    <m:eqArr>
                      <m:eqArrP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qArrPr>
                      <m:e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x−2</m:t>
                        </m:r>
                        <m:r>
                          <m:rPr/>
                          <w:rPr>
                            <w:rFonts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  <m:t>&gt;</m:t>
                        </m:r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0</m:t>
                        </m: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>
                      <m:e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x+3</m:t>
                        </m:r>
                        <m:r>
                          <m:rPr/>
                          <w:rPr>
                            <w:rFonts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  <m:t>&gt;</m:t>
                        </m:r>
                        <m:r>
                          <m:rPr/>
                          <w:rPr>
                            <w:rFonts w:hint="default" w:ascii="Cambria Math" w:hAnsi="Cambria Math" w:cs="宋体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 w:eastAsia="zh-CN"/>
                          </w:rPr>
                          <m:t>0</m:t>
                        </m:r>
                        <m:ctrlPr>
                          <w:rPr>
                            <w:rFonts w:ascii="Cambria Math" w:hAnsi="Cambria Math" w:cs="宋体"/>
                            <w:i/>
                            <w:iCs w:val="0"/>
                            <w:caps w:val="0"/>
                            <w:spacing w:val="0"/>
                            <w:sz w:val="21"/>
                            <w:szCs w:val="21"/>
                            <w:shd w:val="clear" w:fill="FFFFFF"/>
                            <w:vertAlign w:val="baseline"/>
                            <w:lang w:val="en-US"/>
                          </w:rPr>
                        </m:ctrlPr>
                      </m:e>
                    </m:eqAr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vertAlign w:val="baseline"/>
                        <w:lang w:val="en-US"/>
                      </w:rPr>
                    </m:ctrlPr>
                  </m:e>
                </m:d>
              </m:oMath>
            </m:oMathPara>
          </w:p>
        </w:tc>
      </w:tr>
      <w:tr w14:paraId="51701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3385BB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数轴表示</w:t>
            </w:r>
          </w:p>
        </w:tc>
        <w:tc>
          <w:tcPr>
            <w:tcW w:w="1704" w:type="dxa"/>
          </w:tcPr>
          <w:p w14:paraId="46DCAE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3B5546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 w14:paraId="3E5984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 w14:paraId="608683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4E76A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13278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解集</w:t>
            </w:r>
          </w:p>
        </w:tc>
        <w:tc>
          <w:tcPr>
            <w:tcW w:w="1704" w:type="dxa"/>
          </w:tcPr>
          <w:p w14:paraId="6B333B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64BAEC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 w14:paraId="607249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 w14:paraId="041EEA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2368578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2.解下列不等式组，并把它们的解集在数轴上表示出来：</w:t>
      </w:r>
    </w:p>
    <w:p w14:paraId="71A53F1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/>
        </w:rPr>
      </w:pPr>
      <w:r>
        <w:rPr>
          <w:rFonts w:hint="eastAsia"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（1）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spacing w:val="0"/>
                <w:sz w:val="21"/>
                <w:szCs w:val="21"/>
                <w:shd w:val="clear" w:fill="FFFFFF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4x−1</m:t>
                </m:r>
                <m:r>
                  <m:rPr/>
                  <w:rPr>
                    <w:rFonts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2x+3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x+1</m:t>
                </m:r>
                <m:r>
                  <m:rPr/>
                  <w:rPr>
                    <w:rFonts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2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spacing w:val="0"/>
                <w:sz w:val="21"/>
                <w:szCs w:val="21"/>
                <w:shd w:val="clear" w:fill="FFFFFF"/>
                <w:lang w:val="en-US"/>
              </w:rPr>
            </m:ctrlPr>
          </m:e>
        </m:d>
      </m:oMath>
      <w:r>
        <w:rPr>
          <w:rFonts w:hint="eastAsia"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 xml:space="preserve">       （2）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spacing w:val="0"/>
                <w:sz w:val="21"/>
                <w:szCs w:val="21"/>
                <w:shd w:val="clear" w:fill="FFFFFF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x−1</m:t>
                </m:r>
                <m:r>
                  <m:rPr/>
                  <w:rPr>
                    <w:rFonts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6(x+3)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5(x−2)−1</m:t>
                </m:r>
                <m:r>
                  <m:rPr/>
                  <w:rPr>
                    <w:rFonts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≤</m:t>
                </m:r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4(1+x)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spacing w:val="0"/>
                <w:sz w:val="21"/>
                <w:szCs w:val="21"/>
                <w:shd w:val="clear" w:fill="FFFFFF"/>
                <w:lang w:val="en-US"/>
              </w:rPr>
            </m:ctrlPr>
          </m:e>
        </m:d>
      </m:oMath>
      <w:r>
        <w:rPr>
          <w:rFonts w:hint="eastAsia"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 xml:space="preserve">       （3）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spacing w:val="0"/>
                <w:sz w:val="21"/>
                <w:szCs w:val="21"/>
                <w:shd w:val="clear" w:fill="FFFFFF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qArrPr>
              <m:e>
                <m:f>
                  <m:fP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fPr>
                  <m:num>
                    <m:r>
                      <m:rPr/>
                      <w:rPr>
                        <w:rFonts w:hint="default" w:ascii="Cambria Math" w:hAnsi="Cambria Math" w:cs="宋体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x−2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num>
                  <m:den>
                    <m:r>
                      <m:rPr/>
                      <w:rPr>
                        <w:rFonts w:hint="default" w:ascii="Cambria Math" w:hAnsi="Cambria Math" w:cs="宋体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3</m:t>
                    </m:r>
                    <m:ctrlPr>
                      <w:rPr>
                        <w:rFonts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/>
                      </w:rPr>
                    </m:ctrlPr>
                  </m:den>
                </m:f>
                <m:r>
                  <m:rPr/>
                  <w:rPr>
                    <w:rFonts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&lt;</m:t>
                </m:r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0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4−</m:t>
                </m:r>
                <m:f>
                  <m:fP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fPr>
                  <m:num>
                    <m:r>
                      <m:rPr/>
                      <w:rPr>
                        <w:rFonts w:hint="default" w:ascii="Cambria Math" w:hAnsi="Cambria Math" w:cs="宋体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1</m:t>
                    </m: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num>
                  <m:den>
                    <m:r>
                      <m:rPr/>
                      <w:rPr>
                        <w:rFonts w:hint="default" w:ascii="Cambria Math" w:hAnsi="Cambria Math" w:cs="宋体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3</m:t>
                    </m: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den>
                </m:f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x</m:t>
                </m:r>
                <m:r>
                  <m:rPr/>
                  <w:rPr>
                    <w:rFonts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≤</m:t>
                </m:r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−</m:t>
                </m:r>
                <m:f>
                  <m:fP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fPr>
                  <m:num>
                    <m:r>
                      <m:rPr/>
                      <w:rPr>
                        <w:rFonts w:hint="default" w:ascii="Cambria Math" w:hAnsi="Cambria Math" w:cs="宋体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1</m:t>
                    </m: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num>
                  <m:den>
                    <m:r>
                      <m:rPr/>
                      <w:rPr>
                        <w:rFonts w:hint="default" w:ascii="Cambria Math" w:hAnsi="Cambria Math" w:cs="宋体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  <m:t>4</m:t>
                    </m:r>
                    <m:ctrlPr>
                      <w:rPr>
                        <w:rFonts w:hint="default" w:ascii="Cambria Math" w:hAnsi="Cambria Math" w:cs="宋体"/>
                        <w:i/>
                        <w:iCs w:val="0"/>
                        <w:caps w:val="0"/>
                        <w:spacing w:val="0"/>
                        <w:sz w:val="21"/>
                        <w:szCs w:val="21"/>
                        <w:shd w:val="clear" w:fill="FFFFFF"/>
                        <w:lang w:val="en-US" w:eastAsia="zh-CN"/>
                      </w:rPr>
                    </m:ctrlPr>
                  </m:den>
                </m:f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x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spacing w:val="0"/>
                <w:sz w:val="21"/>
                <w:szCs w:val="21"/>
                <w:shd w:val="clear" w:fill="FFFFFF"/>
                <w:lang w:val="en-US"/>
              </w:rPr>
            </m:ctrlPr>
          </m:e>
        </m:d>
      </m:oMath>
    </w:p>
    <w:p w14:paraId="0CEE809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hAnsi="Cambria Math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试求不等式组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spacing w:val="0"/>
                <w:sz w:val="21"/>
                <w:szCs w:val="21"/>
                <w:shd w:val="clear" w:fill="FFFFFF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x+2</m:t>
                </m:r>
                <m:r>
                  <m:rPr/>
                  <w:rPr>
                    <w:rFonts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0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x−6</m:t>
                </m:r>
                <m:r>
                  <m:rPr/>
                  <w:rPr>
                    <w:rFonts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≤</m:t>
                </m:r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0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spacing w:val="0"/>
                <w:sz w:val="21"/>
                <w:szCs w:val="21"/>
                <w:shd w:val="clear" w:fill="FFFFFF"/>
                <w:lang w:val="en-US"/>
              </w:rPr>
            </m:ctrlPr>
          </m:e>
        </m:d>
      </m:oMath>
      <w:r>
        <w:rPr>
          <w:rFonts w:hint="eastAsia"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的所有整数解.</w:t>
      </w:r>
    </w:p>
    <w:p w14:paraId="5B5F2F9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cs="宋体" w:eastAsia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拓展题：已知不等式组</w:t>
      </w:r>
      <m:oMath>
        <m:d>
          <m:dPr>
            <m:begChr m:val="{"/>
            <m:endChr m:val=""/>
            <m:ctrlPr>
              <w:rPr>
                <w:rFonts w:ascii="Cambria Math" w:hAnsi="Cambria Math" w:cs="宋体"/>
                <w:i/>
                <w:iCs w:val="0"/>
                <w:caps w:val="0"/>
                <w:spacing w:val="0"/>
                <w:sz w:val="21"/>
                <w:szCs w:val="21"/>
                <w:shd w:val="clear" w:fill="FFFFFF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qArrPr>
              <m:e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x+a</m:t>
                </m:r>
                <m:r>
                  <m:rPr/>
                  <w:rPr>
                    <w:rFonts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&gt;</m:t>
                </m:r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0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  <m:e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x−2</m:t>
                </m:r>
                <m:r>
                  <m:rPr/>
                  <w:rPr>
                    <w:rFonts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  <m:t>≤</m:t>
                </m:r>
                <m:r>
                  <m:rPr/>
                  <w:rPr>
                    <w:rFonts w:hint="default" w:ascii="Cambria Math" w:hAnsi="Cambria Math" w:cs="宋体"/>
                    <w:caps w:val="0"/>
                    <w:spacing w:val="0"/>
                    <w:sz w:val="21"/>
                    <w:szCs w:val="21"/>
                    <w:shd w:val="clear" w:fill="FFFFFF"/>
                    <w:lang w:val="en-US" w:eastAsia="zh-CN"/>
                  </w:rPr>
                  <m:t>0</m:t>
                </m:r>
                <m:ctrlPr>
                  <w:rPr>
                    <w:rFonts w:ascii="Cambria Math" w:hAnsi="Cambria Math" w:cs="宋体"/>
                    <w:i/>
                    <w:iCs w:val="0"/>
                    <w:caps w:val="0"/>
                    <w:spacing w:val="0"/>
                    <w:sz w:val="21"/>
                    <w:szCs w:val="21"/>
                    <w:shd w:val="clear" w:fill="FFFFFF"/>
                    <w:lang w:val="en-US"/>
                  </w:rPr>
                </m:ctrlPr>
              </m:e>
            </m:eqArr>
            <m:ctrlPr>
              <w:rPr>
                <w:rFonts w:ascii="Cambria Math" w:hAnsi="Cambria Math" w:cs="宋体"/>
                <w:i/>
                <w:iCs w:val="0"/>
                <w:caps w:val="0"/>
                <w:spacing w:val="0"/>
                <w:sz w:val="21"/>
                <w:szCs w:val="21"/>
                <w:shd w:val="clear" w:fill="FFFFFF"/>
                <w:lang w:val="en-US"/>
              </w:rPr>
            </m:ctrlPr>
          </m:e>
        </m:d>
      </m:oMath>
      <w:r>
        <w:rPr>
          <w:rFonts w:hint="eastAsia"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的解集是-1＜</w:t>
      </w:r>
      <w:r>
        <w:rPr>
          <w:rFonts w:hint="default" w:ascii="Times New Roman" w:hAnsi="Times New Roman" w:cs="Times New Roman"/>
          <w:i/>
          <w:iCs/>
          <w:caps w:val="0"/>
          <w:spacing w:val="0"/>
          <w:sz w:val="21"/>
          <w:szCs w:val="21"/>
          <w:shd w:val="clear" w:fill="FFFFFF"/>
          <w:lang w:val="en-US" w:eastAsia="zh-CN"/>
        </w:rPr>
        <w:t>x</w:t>
      </w:r>
      <w:r>
        <w:rPr>
          <w:rFonts w:hint="eastAsia"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≤2，求</w:t>
      </w:r>
      <w:r>
        <w:rPr>
          <w:rFonts w:hint="default" w:ascii="Times New Roman" w:hAnsi="Times New Roman" w:cs="Times New Roman"/>
          <w:i/>
          <w:iCs/>
          <w:caps w:val="0"/>
          <w:spacing w:val="0"/>
          <w:sz w:val="21"/>
          <w:szCs w:val="21"/>
          <w:shd w:val="clear" w:fill="FFFFFF"/>
          <w:lang w:val="en-US" w:eastAsia="zh-CN"/>
        </w:rPr>
        <w:t>a</w:t>
      </w:r>
      <w:r>
        <w:rPr>
          <w:rFonts w:hint="eastAsia" w:hAnsi="Cambria Math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的值。</w:t>
      </w:r>
    </w:p>
    <w:p w14:paraId="7B06921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Cs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明确各层次任务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第1、3题为全体必做题，在此基础上，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A层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完成第2题第（1）小题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，B层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完成第2题第（2）小题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，C层完成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第2题第（3）小题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</w:rPr>
        <w:t>后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挑战拓展题。教师</w:t>
      </w:r>
      <w:r>
        <w:rPr>
          <w:rFonts w:hint="eastAsia" w:ascii="宋体" w:hAnsi="宋体"/>
          <w:bCs/>
          <w:szCs w:val="21"/>
          <w:lang w:val="en-US" w:eastAsia="zh-CN"/>
        </w:rPr>
        <w:t>组织学生在练习本上书写过程并下去</w:t>
      </w:r>
      <w:r>
        <w:rPr>
          <w:rFonts w:hint="eastAsia" w:ascii="宋体" w:hAnsi="宋体"/>
          <w:bCs/>
          <w:szCs w:val="21"/>
        </w:rPr>
        <w:t>巡视，发现问题</w:t>
      </w:r>
      <w:r>
        <w:rPr>
          <w:rFonts w:hint="eastAsia" w:ascii="宋体" w:hAnsi="宋体"/>
          <w:bCs/>
          <w:szCs w:val="21"/>
          <w:lang w:val="en-US" w:eastAsia="zh-CN"/>
        </w:rPr>
        <w:t>及时纠正</w:t>
      </w:r>
      <w:r>
        <w:rPr>
          <w:rFonts w:hint="eastAsia" w:ascii="宋体" w:hAnsi="宋体"/>
          <w:bCs/>
          <w:szCs w:val="21"/>
          <w:lang w:eastAsia="zh-CN"/>
        </w:rPr>
        <w:t>，</w:t>
      </w:r>
      <w:r>
        <w:rPr>
          <w:rFonts w:hint="eastAsia" w:ascii="宋体" w:hAnsi="宋体"/>
          <w:bCs/>
          <w:szCs w:val="21"/>
          <w:lang w:val="en-US" w:eastAsia="zh-CN"/>
        </w:rPr>
        <w:t>抽取答题较为规范和答题不规范的学生作业进行展示，形成对照，对答题规范的学生进行表扬和加分（+3分），对于答题不规范但是有进步的同学也进行鼓励和加分（+2分）。</w:t>
      </w:r>
    </w:p>
    <w:p w14:paraId="33D3F97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/>
          <w:b w:val="0"/>
          <w:bCs/>
          <w:szCs w:val="21"/>
          <w:lang w:val="en-US" w:eastAsia="zh-CN"/>
        </w:rPr>
      </w:pPr>
      <w:r>
        <w:rPr>
          <w:rFonts w:hint="eastAsia" w:ascii="宋体" w:hAnsi="宋体"/>
          <w:b/>
          <w:bCs w:val="0"/>
          <w:szCs w:val="21"/>
          <w:lang w:val="en-US" w:eastAsia="zh-CN"/>
        </w:rPr>
        <w:t>学生活动：</w:t>
      </w:r>
      <w:r>
        <w:rPr>
          <w:rFonts w:hint="eastAsia" w:ascii="宋体" w:hAnsi="宋体"/>
          <w:b w:val="0"/>
          <w:bCs/>
          <w:szCs w:val="21"/>
          <w:lang w:val="en-US" w:eastAsia="zh-CN"/>
        </w:rPr>
        <w:t>学生参照前面的例题规范答题，与教师一起点评被展示的学生作业。</w:t>
      </w:r>
    </w:p>
    <w:p w14:paraId="3D48EBB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楷体_GB2312" w:eastAsia="楷体_GB2312"/>
          <w:szCs w:val="21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1"/>
          <w:szCs w:val="21"/>
        </w:rPr>
        <w:t>〖设计意图〗</w:t>
      </w:r>
      <w:r>
        <w:rPr>
          <w:rFonts w:hint="eastAsia" w:ascii="楷体_GB2312" w:eastAsia="楷体_GB2312"/>
          <w:szCs w:val="21"/>
        </w:rPr>
        <w:t>题目根据难易度分组，</w:t>
      </w:r>
      <w:r>
        <w:rPr>
          <w:rFonts w:hint="eastAsia" w:ascii="楷体_GB2312" w:eastAsia="楷体_GB2312"/>
          <w:szCs w:val="21"/>
          <w:lang w:val="en-US" w:eastAsia="zh-CN"/>
        </w:rPr>
        <w:t>由易到难，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A层巩固基础解法，B层强化规律应用，C层提升逆向思维能力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，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分层练习满足不同层次学生的需求。</w:t>
      </w:r>
      <w:r>
        <w:rPr>
          <w:rFonts w:hint="eastAsia" w:ascii="楷体_GB2312" w:eastAsia="楷体_GB2312"/>
          <w:szCs w:val="21"/>
          <w:lang w:val="en-US" w:eastAsia="zh-CN"/>
        </w:rPr>
        <w:t>选取学生的作业展示，更能反应出大部分学生在解不等式时会出现的易错点（如去分母漏乘、数轴错误）和疑难点，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让学生发现他人错误以警示自己</w:t>
      </w:r>
      <w:r>
        <w:rPr>
          <w:rFonts w:hint="eastAsia" w:ascii="楷体_GB2312" w:eastAsia="楷体_GB2312"/>
          <w:szCs w:val="21"/>
          <w:lang w:val="en-US" w:eastAsia="zh-CN"/>
        </w:rPr>
        <w:t>，能够帮助学生</w:t>
      </w:r>
      <w:r>
        <w:rPr>
          <w:rFonts w:hint="eastAsia" w:ascii="楷体_GB2312" w:eastAsia="楷体_GB2312"/>
          <w:szCs w:val="21"/>
        </w:rPr>
        <w:t>提高计算准确率和速度，培养</w:t>
      </w:r>
      <w:r>
        <w:rPr>
          <w:rFonts w:hint="eastAsia" w:ascii="楷体_GB2312" w:eastAsia="楷体_GB2312"/>
          <w:szCs w:val="21"/>
          <w:lang w:val="en-US" w:eastAsia="zh-CN"/>
        </w:rPr>
        <w:t>学生</w:t>
      </w:r>
      <w:r>
        <w:rPr>
          <w:rFonts w:hint="eastAsia" w:ascii="楷体_GB2312" w:eastAsia="楷体_GB2312"/>
          <w:szCs w:val="21"/>
        </w:rPr>
        <w:t>细心、稳重、专注的做题习惯。</w:t>
      </w:r>
    </w:p>
    <w:p w14:paraId="614E4F19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课堂小结</w:t>
      </w:r>
    </w:p>
    <w:p w14:paraId="22CFB550">
      <w:pPr>
        <w:numPr>
          <w:ilvl w:val="0"/>
          <w:numId w:val="7"/>
        </w:num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本节课</w:t>
      </w:r>
      <w:r>
        <w:rPr>
          <w:rFonts w:hint="eastAsia" w:ascii="宋体" w:hAnsi="宋体"/>
          <w:szCs w:val="21"/>
          <w:lang w:val="en-US" w:eastAsia="zh-CN"/>
        </w:rPr>
        <w:t>学习了哪些核心概念</w:t>
      </w:r>
      <w:r>
        <w:rPr>
          <w:rFonts w:hint="eastAsia" w:ascii="宋体" w:hAnsi="宋体"/>
          <w:szCs w:val="21"/>
        </w:rPr>
        <w:t>？</w:t>
      </w: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  <w:lang w:val="en-US" w:eastAsia="zh-CN"/>
        </w:rPr>
        <w:t>一元一次不等式组、解集</w:t>
      </w:r>
      <w:r>
        <w:rPr>
          <w:rFonts w:hint="eastAsia" w:ascii="宋体" w:hAnsi="宋体"/>
          <w:szCs w:val="21"/>
          <w:lang w:eastAsia="zh-CN"/>
        </w:rPr>
        <w:t>）</w:t>
      </w:r>
    </w:p>
    <w:p w14:paraId="29E18FAC">
      <w:pPr>
        <w:numPr>
          <w:ilvl w:val="0"/>
          <w:numId w:val="7"/>
        </w:numPr>
        <w:spacing w:line="360" w:lineRule="auto"/>
        <w:ind w:left="0" w:leftChars="0" w:firstLine="0" w:firstLineChars="0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解一元一次不等式组的基本步骤是什么？（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分别求解—数轴标注—找公共部分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—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得出结论</w:t>
      </w:r>
      <w:r>
        <w:rPr>
          <w:rFonts w:hint="eastAsia" w:ascii="宋体" w:hAnsi="宋体" w:eastAsia="宋体" w:cs="Times New Roman"/>
          <w:szCs w:val="21"/>
          <w:lang w:val="en-US" w:eastAsia="zh-CN"/>
        </w:rPr>
        <w:t>）</w:t>
      </w:r>
    </w:p>
    <w:p w14:paraId="07477D68">
      <w:pPr>
        <w:numPr>
          <w:ilvl w:val="0"/>
          <w:numId w:val="7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四种类型不等式组的解集规律是什么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？（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同大取大、同小取小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大小小大中间找、大大小小无处找）</w:t>
      </w:r>
    </w:p>
    <w:p w14:paraId="04700A00">
      <w:pPr>
        <w:numPr>
          <w:ilvl w:val="0"/>
          <w:numId w:val="7"/>
        </w:numPr>
        <w:spacing w:line="360" w:lineRule="auto"/>
        <w:ind w:left="0" w:leftChars="0" w:firstLine="0" w:firstLineChars="0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本节课渗透了什么数学思想？（数形结合、建模、分类讨论）</w:t>
      </w:r>
    </w:p>
    <w:p w14:paraId="6074D3BA">
      <w:pPr>
        <w:numPr>
          <w:ilvl w:val="0"/>
          <w:numId w:val="7"/>
        </w:numPr>
        <w:spacing w:line="360" w:lineRule="auto"/>
        <w:ind w:left="0" w:leftChars="0" w:firstLine="0" w:firstLineChars="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大家刚刚在做练习时有什么（情感或态度上的）收获？（计算要细心，过程要耐心，勤思考，勤动笔）</w:t>
      </w:r>
    </w:p>
    <w:p w14:paraId="325645E7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</w:rPr>
        <w:t>学生回答，其他同学补充，教师最后总结</w:t>
      </w:r>
      <w:r>
        <w:rPr>
          <w:rFonts w:hint="eastAsia" w:ascii="宋体" w:hAnsi="宋体"/>
          <w:szCs w:val="21"/>
          <w:lang w:eastAsia="zh-CN"/>
        </w:rPr>
        <w:t>）</w:t>
      </w:r>
    </w:p>
    <w:p w14:paraId="62DDBC9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szCs w:val="21"/>
        </w:rPr>
        <w:t>〖设计意图〗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通过问题链帮助学生系统梳理知识脉络，强化重点内容记忆，培养归纳总结能力。思维导图形式让知识结构更清晰，便于后续复习。</w:t>
      </w:r>
    </w:p>
    <w:p w14:paraId="0655F947">
      <w:pPr>
        <w:keepNext w:val="0"/>
        <w:keepLines w:val="0"/>
        <w:pageBreakBefore w:val="0"/>
        <w:widowControl w:val="0"/>
        <w:numPr>
          <w:ilvl w:val="0"/>
          <w:numId w:val="4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布置作业</w:t>
      </w:r>
    </w:p>
    <w:p w14:paraId="2FBEF53A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A层：①教材第74页习题7.4 A组第1-4题；②校本第36页第1-6题。</w:t>
      </w:r>
    </w:p>
    <w:p w14:paraId="5F2233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/>
        </w:rPr>
      </w:pPr>
      <w:r>
        <w:rPr>
          <w:rFonts w:hint="eastAsia" w:ascii="宋体" w:hAnsi="宋体" w:cs="宋体"/>
          <w:szCs w:val="21"/>
          <w:lang w:val="en-US" w:eastAsia="zh-CN"/>
        </w:rPr>
        <w:t xml:space="preserve">   B层：①教材第74页习题7.4 A组第1-6题；②校本第36页第1-8题。</w:t>
      </w:r>
    </w:p>
    <w:p w14:paraId="5B8397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 xml:space="preserve">   C层：</w:t>
      </w:r>
      <w:r>
        <w:rPr>
          <w:rFonts w:hint="eastAsia" w:ascii="宋体" w:hAnsi="宋体" w:cs="宋体"/>
          <w:szCs w:val="21"/>
          <w:lang w:val="en-US" w:eastAsia="zh-CN"/>
        </w:rPr>
        <w:t>①教材第74页习题7.4 A、B组第1-9题；②校本第36页第1-10题。</w:t>
      </w:r>
    </w:p>
    <w:p w14:paraId="1B535F6B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小组帮扶作业：</w:t>
      </w:r>
      <w:r>
        <w:rPr>
          <w:rFonts w:hint="eastAsia" w:ascii="宋体" w:hAnsi="宋体" w:cs="宋体"/>
          <w:szCs w:val="21"/>
          <w:lang w:val="en-US" w:eastAsia="zh-CN"/>
        </w:rPr>
        <w:t>小组长出2-3道解一元一次不等式组的计算题由组员完成，若组员顺利完成练习且经教师出题考核过关，则小组长＋5分，其组员＋3分。</w:t>
      </w:r>
    </w:p>
    <w:p w14:paraId="5B31A9FF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数学文化阅读：阅读教材第72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-73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页“等号与不等号的由来”，下节课分享收获。</w:t>
      </w:r>
    </w:p>
    <w:p w14:paraId="3C0B323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Cs w:val="21"/>
        </w:rPr>
        <w:t>〖设计意图〗</w:t>
      </w:r>
      <w:r>
        <w:rPr>
          <w:rFonts w:hint="eastAsia" w:ascii="楷体" w:hAnsi="楷体" w:eastAsia="楷体" w:cs="楷体"/>
          <w:szCs w:val="21"/>
          <w:lang w:val="en-US" w:eastAsia="zh-CN"/>
        </w:rPr>
        <w:t>基于“学生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基础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知识掌握不够扎实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”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的学情，</w:t>
      </w:r>
      <w:r>
        <w:rPr>
          <w:rFonts w:hint="eastAsia" w:ascii="楷体_GB2312" w:hAnsi="楷体" w:eastAsia="楷体_GB2312"/>
          <w:szCs w:val="21"/>
        </w:rPr>
        <w:t>针对学生数学能力存在差异的客观事实，</w:t>
      </w:r>
      <w:r>
        <w:rPr>
          <w:rFonts w:hint="eastAsia" w:ascii="楷体_GB2312" w:hAnsi="楷体" w:eastAsia="楷体_GB2312"/>
          <w:szCs w:val="21"/>
          <w:lang w:val="en-US" w:eastAsia="zh-CN"/>
        </w:rPr>
        <w:t>布置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分层作业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：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A层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巩固基础，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B层巩固基础的前提下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提升能力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，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C层巩固基础的前提下进一步拓展深化，</w:t>
      </w:r>
      <w:r>
        <w:rPr>
          <w:rFonts w:hint="eastAsia" w:ascii="楷体" w:hAnsi="楷体" w:eastAsia="楷体" w:cs="楷体"/>
          <w:i w:val="0"/>
          <w:iCs w:val="0"/>
          <w:caps w:val="0"/>
          <w:spacing w:val="0"/>
          <w:sz w:val="21"/>
          <w:szCs w:val="21"/>
          <w:shd w:val="clear" w:fill="FFFFFF"/>
        </w:rPr>
        <w:t>既落实 “因材施教” 原则，又让不同层次学生在原有基础上获得提升，避免 “一刀切” 导致的学优生 “吃不饱”、后进生 “跟不上” 问题。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小组帮扶作业</w:t>
      </w:r>
      <w:r>
        <w:rPr>
          <w:rFonts w:hint="eastAsia" w:ascii="楷体" w:hAnsi="楷体" w:eastAsia="楷体" w:cs="楷体"/>
          <w:i w:val="0"/>
          <w:iCs w:val="0"/>
          <w:caps w:val="0"/>
          <w:spacing w:val="0"/>
          <w:sz w:val="21"/>
          <w:szCs w:val="21"/>
          <w:shd w:val="clear" w:fill="FFFFFF"/>
        </w:rPr>
        <w:t>发挥 “兵教兵” 优势，既强化组长的责任意识与知识运用能力，又让组员在针对性练习中巩固薄弱点，积分奖励机制进一步激发双方积极性，延伸课堂合作学习效果。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21"/>
          <w:szCs w:val="21"/>
        </w:rPr>
        <w:t>数学文化阅读拓宽视野，提升数学素养。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3C79F1"/>
    <w:multiLevelType w:val="singleLevel"/>
    <w:tmpl w:val="8E3C79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54B8914"/>
    <w:multiLevelType w:val="singleLevel"/>
    <w:tmpl w:val="954B891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9D4C03D"/>
    <w:multiLevelType w:val="singleLevel"/>
    <w:tmpl w:val="B9D4C03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BE767BE"/>
    <w:multiLevelType w:val="singleLevel"/>
    <w:tmpl w:val="CBE767BE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D9E7400B"/>
    <w:multiLevelType w:val="singleLevel"/>
    <w:tmpl w:val="D9E7400B"/>
    <w:lvl w:ilvl="0" w:tentative="0">
      <w:start w:val="1"/>
      <w:numFmt w:val="decimal"/>
      <w:lvlText w:val="%1."/>
      <w:lvlJc w:val="left"/>
      <w:pPr>
        <w:tabs>
          <w:tab w:val="left" w:pos="732"/>
        </w:tabs>
        <w:ind w:left="420"/>
      </w:pPr>
    </w:lvl>
  </w:abstractNum>
  <w:abstractNum w:abstractNumId="5">
    <w:nsid w:val="F8CCCA02"/>
    <w:multiLevelType w:val="singleLevel"/>
    <w:tmpl w:val="F8CCCA0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17338EBC"/>
    <w:multiLevelType w:val="singleLevel"/>
    <w:tmpl w:val="17338EBC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2335B809"/>
    <w:multiLevelType w:val="singleLevel"/>
    <w:tmpl w:val="2335B809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6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72C13"/>
    <w:rsid w:val="060A0AE2"/>
    <w:rsid w:val="119F0F1F"/>
    <w:rsid w:val="1370566E"/>
    <w:rsid w:val="19E544AB"/>
    <w:rsid w:val="1C5C6DED"/>
    <w:rsid w:val="29FF3E08"/>
    <w:rsid w:val="326B22AF"/>
    <w:rsid w:val="3E9230EE"/>
    <w:rsid w:val="4AD52CE0"/>
    <w:rsid w:val="4AF772C3"/>
    <w:rsid w:val="52056F70"/>
    <w:rsid w:val="52881EE6"/>
    <w:rsid w:val="56372EC0"/>
    <w:rsid w:val="589719F3"/>
    <w:rsid w:val="61F57DFD"/>
    <w:rsid w:val="626562A0"/>
    <w:rsid w:val="629B024D"/>
    <w:rsid w:val="6A605FD2"/>
    <w:rsid w:val="6E2B6929"/>
    <w:rsid w:val="77672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7380</Words>
  <Characters>7629</Characters>
  <Lines>0</Lines>
  <Paragraphs>0</Paragraphs>
  <TotalTime>20</TotalTime>
  <ScaleCrop>false</ScaleCrop>
  <LinksUpToDate>false</LinksUpToDate>
  <CharactersWithSpaces>7747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2025-08-17T08:32:00Z</dcterms:created>
  <dc:creator>一口吃不成个小吴</dc:creator>
  <cp:lastModifiedBy>平萍</cp:lastModifiedBy>
  <dcterms:modified xsi:type="dcterms:W3CDTF">2026-01-12T08:30:25Z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69E01014701E4FBB89EB3E16CE76ACB1_11</vt:lpwstr>
  </property>
  <property fmtid="{D5CDD505-2E9C-101B-9397-08002B2CF9AE}" pid="4" name="KSOTemplateDocerSaveRecord">
    <vt:lpwstr>eyJoZGlkIjoiZjUyZjVkMmU5MDc4ZTJjZDI4OGU3ZjUwN2NjYjVlZjYiLCJ1c2VySWQiOiIxNjA3NjUzOTcyIn0=</vt:lpwstr>
  </property>
</Properties>
</file>